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contextualSpacing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 Р О Т О К О Л</w:t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признании претендентов участниками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аукциона</w:t>
      </w:r>
      <w:r>
        <w:rPr>
          <w:sz w:val="26"/>
          <w:szCs w:val="26"/>
        </w:rPr>
        <w:t xml:space="preserve"> в электронной форме по продаже изъят</w:t>
      </w:r>
      <w:r>
        <w:rPr>
          <w:sz w:val="26"/>
          <w:szCs w:val="26"/>
        </w:rPr>
        <w:t xml:space="preserve">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 </w:t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объект незавершённого строительства, площадь застройки 414,2 кв.м., кадастровый номер 52:28:0120001:271, являющийся объектом культурного наследия регионального значения – «Усадьба Оболенских»</w:t>
      </w:r>
      <w:r>
        <w:rPr>
          <w:sz w:val="26"/>
          <w:szCs w:val="26"/>
        </w:rPr>
        <w:t xml:space="preserve">, расположенного по адресу: </w:t>
      </w:r>
      <w:r>
        <w:rPr>
          <w:sz w:val="26"/>
          <w:szCs w:val="26"/>
        </w:rPr>
        <w:t xml:space="preserve">Нижегородская обл., Воротынский р-н , п.Красная Горка, ул.Береговая, д.2А</w:t>
      </w:r>
      <w:r>
        <w:rPr>
          <w:sz w:val="26"/>
          <w:szCs w:val="26"/>
        </w:rPr>
        <w:t xml:space="preserve"> и земельного участка под ним площадью </w:t>
      </w:r>
      <w:r>
        <w:rPr>
          <w:sz w:val="26"/>
          <w:szCs w:val="26"/>
        </w:rPr>
        <w:t xml:space="preserve">13 350 кв.м, кадастровый номер 52:28:0120001:505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электронной торговой площадке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АО «Российский аукционный дом» www.lot-online.ru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right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</w:r>
      <w:r>
        <w:rPr>
          <w:bCs/>
          <w:i/>
          <w:iCs/>
          <w:sz w:val="26"/>
          <w:szCs w:val="26"/>
        </w:rPr>
      </w:r>
    </w:p>
    <w:p>
      <w:pPr>
        <w:pStyle w:val="706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Описание имущества: 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объект незавершённого строительства, площадь застройки 414,2 кв.м., кадастровый номер 52:28:0120001:271, являющийся объектом культурного наследия регионального значения – «Усадьба Оболенских»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расположенный по адресу: Нижегородская обл., Воротынский р-н , п.Красная Горка, ул.Береговая, д.2А </w:t>
      </w:r>
      <w:r>
        <w:rPr>
          <w:sz w:val="26"/>
          <w:szCs w:val="26"/>
        </w:rPr>
        <w:t xml:space="preserve">(далее – Объект 1) (документ о включении объ</w:t>
      </w:r>
      <w:r>
        <w:rPr>
          <w:sz w:val="26"/>
          <w:szCs w:val="26"/>
        </w:rPr>
        <w:t xml:space="preserve">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решение Исполнительного комитета Горьковского областного совета народных депутатов от 18.12.1989 № 471). 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земельный участок под Объектом 1 площадью 13 350 кв.м, кадастровый номер 52:28:0120001</w:t>
      </w:r>
      <w:r>
        <w:rPr>
          <w:sz w:val="26"/>
          <w:szCs w:val="26"/>
        </w:rPr>
        <w:t xml:space="preserve">:505, категория земель: земли населенных пунктов, вид разрешенного использования: под объектом незавершенного строительства (здания)- Барский дом, местоположение: Нижегородская обл., Воротынский р-н , п.Красная Горка, ул.Береговая, д.2А (далее – Объект 2).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1 и Объект 2 вместе именуются Имущество.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Собственник Объекта 1 и Объекта 2 – физическое лицо.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сведениям из выписок из Единого государственного реестра недвижимости, на Объект 1 и Объект 2 установлены ограничения и обременения, в том числе: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Объект 1: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Охран</w:t>
      </w:r>
      <w:r>
        <w:rPr>
          <w:sz w:val="26"/>
          <w:szCs w:val="26"/>
        </w:rPr>
        <w:t xml:space="preserve">ным обязательством собственника или иного законного владельца объекта культурного наследия регионального значения «Усадьба Оболенских», расположенного по адресу: Нижегородская обл., Воротынский р-н, п.Красная Горка, ул.Береговая, д.2А, утвержденным приказо</w:t>
      </w:r>
      <w:r>
        <w:rPr>
          <w:sz w:val="26"/>
          <w:szCs w:val="26"/>
        </w:rPr>
        <w:t xml:space="preserve">м управления государственной охраны объектов культурного наследия Нижегородской области от 05.02.2025 № 5,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решением № 471, выданным 18.12.1989, зарегистрированы 15.05.2013 в пользу Нижегородской области прочие ограничения прав и обременения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Имущества: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запрещение регистрации на основании постановлений судебного пристава-исполнителя Автозаводское РОСП № 1 г. Нижнего Новгорода, выданных 15.05.2023, 02.11.2023 (в отношении Объекта № 1), 18.05.2018 (в отношении Объекта № 2).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</w:pPr>
      <w:r>
        <w:rPr>
          <w:sz w:val="26"/>
          <w:szCs w:val="26"/>
        </w:rPr>
        <w:t xml:space="preserve">Начальная цена предмета аукциона – 1 392 000 рублей, состоит из:</w:t>
      </w:r>
      <w:r/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Начальной цены Объекта 1 – 891 000 рублей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Начальной цены Объекта 2 – 501 000 рублей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задатка (20%) – 278 400 рублей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Шаг аукциона – 50 000 рублей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выполнения реставрационно - ремонтных работ (восстановительных ра</w:t>
      </w:r>
      <w:r>
        <w:rPr>
          <w:sz w:val="26"/>
          <w:szCs w:val="26"/>
        </w:rPr>
        <w:t xml:space="preserve">бот) в отношении объекта культурного наследия регионального значения - объекта культурного наследия регионального значения «Усадьба Оболенских», расположенного по адресу: Нижегородская обл., Воротынский р-н , п.Красная Горка, ул.Береговая, д.2А составляет </w:t>
      </w: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261 490,90 тыс.рублей, согласно отчету ГАУ НО «Научно-производственный центр по сохранению объектов культурного наследия Нижегородской области» (письмо от 11.12.2025 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№ Сл--1132022/25)</w:t>
      </w:r>
      <w:r>
        <w:rPr>
          <w:sz w:val="26"/>
          <w:szCs w:val="26"/>
        </w:rPr>
        <w:t xml:space="preserve"> о сто</w:t>
      </w:r>
      <w:r>
        <w:rPr>
          <w:sz w:val="26"/>
          <w:szCs w:val="26"/>
        </w:rPr>
        <w:t xml:space="preserve">имости восстановительных работ в</w:t>
      </w:r>
      <w:r>
        <w:rPr>
          <w:sz w:val="26"/>
          <w:szCs w:val="26"/>
        </w:rPr>
        <w:t xml:space="preserve"> отношении объекта культурного наследия реги</w:t>
      </w:r>
      <w:r>
        <w:rPr>
          <w:sz w:val="26"/>
          <w:szCs w:val="26"/>
        </w:rPr>
        <w:t xml:space="preserve">онального значения «Усадьба Оболенских» (Нижегородская область, Воротынский район, д. Красная гор), представленному управлением государственной охраны объектов культурного наследия Нижегородской области, являющемуся Приложение №3 к аукционной документации.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 проведении публичных торгов принято в соответствии с решением </w:t>
      </w:r>
      <w:r>
        <w:rPr>
          <w:sz w:val="26"/>
          <w:szCs w:val="26"/>
        </w:rPr>
        <w:t xml:space="preserve">Воротынского</w:t>
      </w:r>
      <w:r>
        <w:rPr>
          <w:sz w:val="26"/>
          <w:szCs w:val="26"/>
        </w:rPr>
        <w:t xml:space="preserve"> районного суда Нижегородской области от 0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.2023 по делу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2-307/2023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Резолютивная часть решения Воротынского районного суда Нижегородской области от 09.10.2023 по делу № 2-307/2023, на основании которого принято решение об изъятии Имущества у собственника путем продажи с публичных торгов: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«Исковые </w:t>
      </w:r>
      <w:r>
        <w:rPr>
          <w:sz w:val="26"/>
          <w:szCs w:val="26"/>
        </w:rPr>
        <w:t xml:space="preserve">требования Управления государственной охраны объектов культурного наследия Нижегородской области (ИНН 5260167723) к                          (ИНН                  ) об изъятии у собственника бесхозно содержимого объекта культурного наследия, удовлетворить.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Изъять объект культурного наследия регионального значения «Усадьба Оболенских» по адресу: Нижегородская область, Воротынский район, д. Красная горка, </w:t>
      </w:r>
      <w:r>
        <w:rPr>
          <w:sz w:val="26"/>
          <w:szCs w:val="26"/>
        </w:rPr>
        <w:t xml:space="preserve">ул. Береговая, д. 2 «А»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кадастровый номер 52:28:0120001:271 и занимаемый им земельный участок с кадастровым номером 52:28:0120001:505 площадью 13350 +/-81 кв.м, расположенный по адресу: </w:t>
      </w:r>
      <w:r>
        <w:rPr>
          <w:sz w:val="26"/>
          <w:szCs w:val="26"/>
        </w:rPr>
        <w:t xml:space="preserve">Нижегородская область, </w:t>
      </w:r>
      <w:r>
        <w:rPr>
          <w:sz w:val="26"/>
          <w:szCs w:val="26"/>
        </w:rPr>
        <w:t xml:space="preserve">Воротынский район, п. Красная горка, ул. Береговая, д. 2 «А».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</w:t>
      </w:r>
      <w:r>
        <w:rPr>
          <w:sz w:val="26"/>
          <w:szCs w:val="26"/>
        </w:rPr>
        <w:t xml:space="preserve">аукционе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по продаже изъятого по решению суда объекта культурного наследия регионального значения –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Усадьба Оболенских</w:t>
      </w:r>
      <w:r>
        <w:rPr>
          <w:sz w:val="26"/>
          <w:szCs w:val="26"/>
        </w:rPr>
        <w:t xml:space="preserve">», расположенного по адресу: Нижегородская область, </w:t>
      </w:r>
      <w:r>
        <w:rPr>
          <w:sz w:val="26"/>
          <w:szCs w:val="26"/>
        </w:rPr>
        <w:t xml:space="preserve">Воротынский район, п. Красная горка,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ул. Береговая, д. 2 «А»</w:t>
      </w:r>
      <w:r>
        <w:rPr>
          <w:sz w:val="26"/>
          <w:szCs w:val="26"/>
        </w:rPr>
        <w:t xml:space="preserve">, не поступили ни одной заявки.</w:t>
      </w:r>
      <w:r>
        <w:rPr>
          <w:sz w:val="26"/>
          <w:szCs w:val="26"/>
        </w:rPr>
      </w:r>
    </w:p>
    <w:p>
      <w:pPr>
        <w:pStyle w:val="70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Состав комиссии  –   8 человек.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Присутствуют –  7 человек. Кворум  имеется.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Председатель комиссии:</w:t>
        <w:tab/>
        <w:tab/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__________________А.К.Газизов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Заместитель председателя комиссии        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__________________В.П.Пильганов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Члены комиссии:</w:t>
        <w:tab/>
        <w:tab/>
        <w:tab/>
        <w:tab/>
        <w:tab/>
        <w:t xml:space="preserve">_________________ </w:t>
      </w:r>
      <w:r>
        <w:rPr>
          <w:iCs/>
          <w:sz w:val="26"/>
          <w:szCs w:val="26"/>
        </w:rPr>
        <w:t xml:space="preserve">  </w:t>
      </w:r>
      <w:r>
        <w:rPr>
          <w:iCs/>
          <w:sz w:val="26"/>
          <w:szCs w:val="26"/>
        </w:rPr>
        <w:t xml:space="preserve">О.Л.Гусева</w:t>
      </w: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ab/>
        <w:tab/>
        <w:tab/>
        <w:tab/>
        <w:tab/>
        <w:tab/>
        <w:t xml:space="preserve">__________________А.А.Катаева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ab/>
        <w:tab/>
        <w:tab/>
        <w:tab/>
        <w:tab/>
        <w:tab/>
        <w:t xml:space="preserve">_________________ А.А.Лыганов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ab/>
        <w:tab/>
        <w:tab/>
        <w:tab/>
        <w:tab/>
        <w:tab/>
        <w:t xml:space="preserve">_________________ Е.А.Магина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sz w:val="26"/>
          <w:szCs w:val="26"/>
        </w:rPr>
      </w:pPr>
      <w:r>
        <w:rPr>
          <w:iCs/>
          <w:sz w:val="26"/>
          <w:szCs w:val="26"/>
        </w:rPr>
        <w:t xml:space="preserve">Секретарь комиссии</w:t>
        <w:tab/>
        <w:tab/>
        <w:tab/>
        <w:tab/>
        <w:t xml:space="preserve">_________________ Е.В.Кислицына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7" w:h="16840" w:orient="portrait"/>
      <w:pgMar w:top="426" w:right="425" w:bottom="426" w:left="70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  <w:tabs>
          <w:tab w:val="num" w:pos="1222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  <w:tabs>
          <w:tab w:val="num" w:pos="194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  <w:tabs>
          <w:tab w:val="num" w:pos="266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  <w:tabs>
          <w:tab w:val="num" w:pos="3382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  <w:tabs>
          <w:tab w:val="num" w:pos="410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  <w:tabs>
          <w:tab w:val="num" w:pos="482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  <w:tabs>
          <w:tab w:val="num" w:pos="5542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  <w:tabs>
          <w:tab w:val="num" w:pos="6262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3"/>
  </w:num>
  <w:num w:numId="4">
    <w:abstractNumId w:val="20"/>
  </w:num>
  <w:num w:numId="5">
    <w:abstractNumId w:val="10"/>
  </w:num>
  <w:num w:numId="6">
    <w:abstractNumId w:val="15"/>
  </w:num>
  <w:num w:numId="7">
    <w:abstractNumId w:val="39"/>
  </w:num>
  <w:num w:numId="8">
    <w:abstractNumId w:val="31"/>
  </w:num>
  <w:num w:numId="9">
    <w:abstractNumId w:val="13"/>
  </w:num>
  <w:num w:numId="10">
    <w:abstractNumId w:val="11"/>
  </w:num>
  <w:num w:numId="11">
    <w:abstractNumId w:val="7"/>
  </w:num>
  <w:num w:numId="12">
    <w:abstractNumId w:val="23"/>
  </w:num>
  <w:num w:numId="13">
    <w:abstractNumId w:val="21"/>
  </w:num>
  <w:num w:numId="14">
    <w:abstractNumId w:val="12"/>
  </w:num>
  <w:num w:numId="15">
    <w:abstractNumId w:val="24"/>
  </w:num>
  <w:num w:numId="16">
    <w:abstractNumId w:val="40"/>
  </w:num>
  <w:num w:numId="17">
    <w:abstractNumId w:val="36"/>
  </w:num>
  <w:num w:numId="18">
    <w:abstractNumId w:val="32"/>
  </w:num>
  <w:num w:numId="19">
    <w:abstractNumId w:val="41"/>
  </w:num>
  <w:num w:numId="20">
    <w:abstractNumId w:val="29"/>
  </w:num>
  <w:num w:numId="21">
    <w:abstractNumId w:val="35"/>
  </w:num>
  <w:num w:numId="22">
    <w:abstractNumId w:val="28"/>
  </w:num>
  <w:num w:numId="23">
    <w:abstractNumId w:val="5"/>
  </w:num>
  <w:num w:numId="24">
    <w:abstractNumId w:val="18"/>
  </w:num>
  <w:num w:numId="25">
    <w:abstractNumId w:val="30"/>
  </w:num>
  <w:num w:numId="26">
    <w:abstractNumId w:val="9"/>
  </w:num>
  <w:num w:numId="27">
    <w:abstractNumId w:val="38"/>
  </w:num>
  <w:num w:numId="28">
    <w:abstractNumId w:val="14"/>
  </w:num>
  <w:num w:numId="29">
    <w:abstractNumId w:val="34"/>
  </w:num>
  <w:num w:numId="30">
    <w:abstractNumId w:val="8"/>
  </w:num>
  <w:num w:numId="31">
    <w:abstractNumId w:val="27"/>
  </w:num>
  <w:num w:numId="32">
    <w:abstractNumId w:val="16"/>
  </w:num>
  <w:num w:numId="33">
    <w:abstractNumId w:val="6"/>
  </w:num>
  <w:num w:numId="34">
    <w:abstractNumId w:val="17"/>
  </w:num>
  <w:num w:numId="35">
    <w:abstractNumId w:val="19"/>
  </w:num>
  <w:num w:numId="36">
    <w:abstractNumId w:val="37"/>
  </w:num>
  <w:num w:numId="37">
    <w:abstractNumId w:val="0"/>
  </w:num>
  <w:num w:numId="38">
    <w:abstractNumId w:val="2"/>
  </w:num>
  <w:num w:numId="39">
    <w:abstractNumId w:val="1"/>
  </w:num>
  <w:num w:numId="40">
    <w:abstractNumId w:val="25"/>
  </w:num>
  <w:num w:numId="41">
    <w:abstractNumId w:val="22"/>
  </w:num>
  <w:num w:numId="42">
    <w:abstractNumId w:val="44"/>
  </w:num>
  <w:num w:numId="43">
    <w:abstractNumId w:val="42"/>
  </w:num>
  <w:num w:numId="44">
    <w:abstractNumId w:val="4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lang w:val="ru-RU" w:eastAsia="ru-RU" w:bidi="ar-SA"/>
    </w:rPr>
  </w:style>
  <w:style w:type="paragraph" w:styleId="707">
    <w:name w:val="Заголовок 1"/>
    <w:basedOn w:val="706"/>
    <w:next w:val="706"/>
    <w:link w:val="706"/>
    <w:qFormat/>
    <w:pPr>
      <w:keepNext/>
      <w:outlineLvl w:val="0"/>
    </w:pPr>
    <w:rPr>
      <w:sz w:val="24"/>
    </w:rPr>
  </w:style>
  <w:style w:type="paragraph" w:styleId="708">
    <w:name w:val="Заголовок 2"/>
    <w:basedOn w:val="706"/>
    <w:next w:val="706"/>
    <w:link w:val="706"/>
    <w:qFormat/>
    <w:pPr>
      <w:jc w:val="center"/>
      <w:keepNext/>
      <w:outlineLvl w:val="1"/>
    </w:pPr>
    <w:rPr>
      <w:sz w:val="24"/>
    </w:rPr>
  </w:style>
  <w:style w:type="paragraph" w:styleId="709">
    <w:name w:val="Заголовок 3"/>
    <w:basedOn w:val="706"/>
    <w:next w:val="706"/>
    <w:link w:val="706"/>
    <w:qFormat/>
    <w:pPr>
      <w:jc w:val="center"/>
      <w:keepNext/>
      <w:outlineLvl w:val="2"/>
    </w:pPr>
    <w:rPr>
      <w:b/>
      <w:sz w:val="24"/>
    </w:rPr>
  </w:style>
  <w:style w:type="paragraph" w:styleId="710">
    <w:name w:val="Заголовок 4"/>
    <w:basedOn w:val="706"/>
    <w:next w:val="706"/>
    <w:link w:val="706"/>
    <w:qFormat/>
    <w:pPr>
      <w:ind w:left="2832" w:firstLine="708"/>
      <w:keepNext/>
      <w:outlineLvl w:val="3"/>
    </w:pPr>
    <w:rPr>
      <w:b/>
      <w:sz w:val="24"/>
    </w:rPr>
  </w:style>
  <w:style w:type="paragraph" w:styleId="711">
    <w:name w:val="Заголовок 5"/>
    <w:basedOn w:val="706"/>
    <w:next w:val="706"/>
    <w:link w:val="706"/>
    <w:qFormat/>
    <w:pPr>
      <w:keepNext/>
      <w:outlineLvl w:val="4"/>
    </w:pPr>
    <w:rPr>
      <w:sz w:val="28"/>
    </w:rPr>
  </w:style>
  <w:style w:type="character" w:styleId="712">
    <w:name w:val="Основной шрифт абзаца"/>
    <w:next w:val="712"/>
    <w:link w:val="706"/>
    <w:semiHidden/>
  </w:style>
  <w:style w:type="table" w:styleId="713">
    <w:name w:val="Обычная таблица"/>
    <w:next w:val="713"/>
    <w:link w:val="706"/>
    <w:semiHidden/>
    <w:tblPr/>
  </w:style>
  <w:style w:type="numbering" w:styleId="714">
    <w:name w:val="Нет списка"/>
    <w:next w:val="714"/>
    <w:link w:val="706"/>
    <w:semiHidden/>
  </w:style>
  <w:style w:type="paragraph" w:styleId="715">
    <w:name w:val="Название"/>
    <w:basedOn w:val="706"/>
    <w:next w:val="715"/>
    <w:link w:val="706"/>
    <w:qFormat/>
    <w:pPr>
      <w:jc w:val="center"/>
      <w:spacing w:line="360" w:lineRule="auto"/>
    </w:pPr>
    <w:rPr>
      <w:sz w:val="24"/>
    </w:rPr>
  </w:style>
  <w:style w:type="paragraph" w:styleId="716">
    <w:name w:val="Основной текст"/>
    <w:basedOn w:val="706"/>
    <w:next w:val="716"/>
    <w:link w:val="723"/>
    <w:pPr>
      <w:jc w:val="both"/>
      <w:spacing w:line="360" w:lineRule="auto"/>
    </w:pPr>
    <w:rPr>
      <w:sz w:val="24"/>
      <w:lang w:eastAsia="ru-RU"/>
    </w:rPr>
  </w:style>
  <w:style w:type="paragraph" w:styleId="717">
    <w:name w:val="Основной текст 2"/>
    <w:basedOn w:val="706"/>
    <w:next w:val="717"/>
    <w:link w:val="722"/>
    <w:rPr>
      <w:sz w:val="28"/>
    </w:rPr>
  </w:style>
  <w:style w:type="paragraph" w:styleId="718">
    <w:name w:val="Нижний колонтитул"/>
    <w:basedOn w:val="706"/>
    <w:next w:val="718"/>
    <w:link w:val="706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19">
    <w:name w:val="Основной текст 3"/>
    <w:basedOn w:val="706"/>
    <w:next w:val="719"/>
    <w:link w:val="706"/>
    <w:rPr>
      <w:i/>
      <w:iCs/>
      <w:sz w:val="28"/>
    </w:rPr>
  </w:style>
  <w:style w:type="paragraph" w:styleId="720">
    <w:name w:val="Основной текст с отступом"/>
    <w:basedOn w:val="706"/>
    <w:next w:val="720"/>
    <w:link w:val="706"/>
    <w:pPr>
      <w:jc w:val="both"/>
    </w:pPr>
    <w:rPr>
      <w:sz w:val="28"/>
      <w:szCs w:val="28"/>
    </w:rPr>
  </w:style>
  <w:style w:type="paragraph" w:styleId="721">
    <w:name w:val="Текст выноски"/>
    <w:basedOn w:val="706"/>
    <w:next w:val="721"/>
    <w:link w:val="706"/>
    <w:semiHidden/>
    <w:rPr>
      <w:rFonts w:ascii="Tahoma" w:hAnsi="Tahoma" w:cs="Tahoma"/>
      <w:sz w:val="16"/>
      <w:szCs w:val="16"/>
    </w:rPr>
  </w:style>
  <w:style w:type="character" w:styleId="722">
    <w:name w:val="Основной текст 2 Знак"/>
    <w:next w:val="722"/>
    <w:link w:val="717"/>
    <w:rPr>
      <w:sz w:val="28"/>
    </w:rPr>
  </w:style>
  <w:style w:type="character" w:styleId="723">
    <w:name w:val="Основной текст Знак"/>
    <w:next w:val="723"/>
    <w:link w:val="716"/>
    <w:rPr>
      <w:sz w:val="24"/>
    </w:rPr>
  </w:style>
  <w:style w:type="character" w:styleId="724">
    <w:name w:val="Гиперссылка"/>
    <w:next w:val="724"/>
    <w:link w:val="706"/>
    <w:rPr>
      <w:color w:val="0000ff"/>
      <w:u w:val="single"/>
    </w:rPr>
  </w:style>
  <w:style w:type="character" w:styleId="996" w:default="1">
    <w:name w:val="Default Paragraph Font"/>
    <w:uiPriority w:val="1"/>
    <w:semiHidden/>
    <w:unhideWhenUsed/>
  </w:style>
  <w:style w:type="numbering" w:styleId="997" w:default="1">
    <w:name w:val="No List"/>
    <w:uiPriority w:val="99"/>
    <w:semiHidden/>
    <w:unhideWhenUsed/>
  </w:style>
  <w:style w:type="table" w:styleId="9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КУГИ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>JOГO JARDIM x8?! PORRA! DIA 8 VOTA NГO!</dc:subject>
  <dc:creator>VOTA NГO А REGIONALIZAЗГO! SIM AO REFORЗO DO MUNICIPALISMO!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3</cp:revision>
  <dcterms:created xsi:type="dcterms:W3CDTF">2026-05-19T05:10:00Z</dcterms:created>
  <dcterms:modified xsi:type="dcterms:W3CDTF">2026-05-26T15:03:16Z</dcterms:modified>
  <cp:version>917504</cp:version>
</cp:coreProperties>
</file>